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Times New Roman" w:hAnsi="Times New Roman"/>
          <w:b w:val="1"/>
          <w:bCs w:val="1"/>
          <w:sz w:val="22"/>
          <w:szCs w:val="22"/>
        </w:rPr>
      </w:pPr>
    </w:p>
    <w:p>
      <w:pPr>
        <w:pStyle w:val="Normal.0"/>
        <w:jc w:val="center"/>
        <w:rPr>
          <w:rFonts w:ascii="Times New Roman" w:hAnsi="Times New Roman"/>
          <w:b w:val="1"/>
          <w:bCs w:val="1"/>
          <w:sz w:val="22"/>
          <w:szCs w:val="22"/>
        </w:rPr>
      </w:pPr>
    </w:p>
    <w:p>
      <w:pPr>
        <w:pStyle w:val="Normal.0"/>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Achieving Sustainability: PepsiCo</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s ESG and Customer Perception</w:t>
      </w:r>
    </w:p>
    <w:p>
      <w:pPr>
        <w:pStyle w:val="Normal.0"/>
        <w:jc w:val="center"/>
        <w:rPr>
          <w:rFonts w:ascii="Times New Roman" w:cs="Times New Roman" w:hAnsi="Times New Roman" w:eastAsia="Times New Roman"/>
          <w:sz w:val="22"/>
          <w:szCs w:val="22"/>
        </w:rPr>
      </w:pPr>
    </w:p>
    <w:p>
      <w:pPr>
        <w:pStyle w:val="Normal.0"/>
        <w:jc w:val="center"/>
        <w:rPr>
          <w:rFonts w:ascii="Times New Roman" w:cs="Times New Roman" w:hAnsi="Times New Roman" w:eastAsia="Times New Roman"/>
          <w:sz w:val="22"/>
          <w:szCs w:val="22"/>
        </w:rPr>
      </w:pPr>
      <w:r>
        <w:rPr>
          <w:rFonts w:ascii="Times New Roman" w:hAnsi="Times New Roman"/>
          <w:sz w:val="22"/>
          <w:szCs w:val="22"/>
          <w:rtl w:val="0"/>
          <w:lang w:val="en-US"/>
        </w:rPr>
        <w:t>Xinning Liu</w:t>
      </w:r>
    </w:p>
    <w:p>
      <w:pPr>
        <w:pStyle w:val="Normal.0"/>
        <w:jc w:val="center"/>
        <w:rPr>
          <w:rFonts w:ascii="Times New Roman" w:cs="Times New Roman" w:hAnsi="Times New Roman" w:eastAsia="Times New Roman"/>
          <w:b w:val="1"/>
          <w:bCs w:val="1"/>
          <w:sz w:val="22"/>
          <w:szCs w:val="22"/>
        </w:rPr>
      </w:pPr>
      <w:r>
        <w:rPr>
          <w:rFonts w:ascii="Times New Roman" w:hAnsi="Times New Roman"/>
          <w:sz w:val="22"/>
          <w:szCs w:val="22"/>
          <w:rtl w:val="0"/>
          <w:lang w:val="en-US"/>
        </w:rPr>
        <w:t>September 202</w:t>
      </w:r>
      <w:r>
        <w:rPr>
          <w:rFonts w:ascii="Times New Roman" w:hAnsi="Times New Roman"/>
          <w:sz w:val="22"/>
          <w:szCs w:val="22"/>
          <w:rtl w:val="0"/>
          <w:lang w:val="en-US"/>
        </w:rPr>
        <w:t>3</w:t>
      </w:r>
    </w:p>
    <w:p>
      <w:pPr>
        <w:pStyle w:val="Normal.0"/>
        <w:spacing w:line="480" w:lineRule="auto"/>
        <w:jc w:val="center"/>
        <w:rPr>
          <w:rFonts w:ascii="Times New Roman" w:cs="Times New Roman" w:hAnsi="Times New Roman" w:eastAsia="Times New Roman"/>
          <w:b w:val="1"/>
          <w:bCs w:val="1"/>
          <w:sz w:val="22"/>
          <w:szCs w:val="22"/>
        </w:rPr>
      </w:pP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Introduction </w:t>
      </w:r>
    </w:p>
    <w:p>
      <w:pPr>
        <w:pStyle w:val="Normal.0"/>
        <w:spacing w:line="480" w:lineRule="auto"/>
        <w:rPr>
          <w:rFonts w:ascii="Times New Roman" w:cs="Times New Roman" w:hAnsi="Times New Roman" w:eastAsia="Times New Roman"/>
          <w:sz w:val="22"/>
          <w:szCs w:val="22"/>
        </w:rPr>
      </w:pPr>
      <w:r>
        <w:rPr>
          <w:rFonts w:ascii="Times New Roman" w:hAnsi="Times New Roman"/>
          <w:sz w:val="22"/>
          <w:szCs w:val="22"/>
          <w:rtl w:val="0"/>
          <w:lang w:val="en-US"/>
        </w:rPr>
        <w:t>Opportunity cost refers to what you have to give up to buy what you want in terms of other goods or services (</w:t>
      </w:r>
      <w:r>
        <w:rPr>
          <w:rFonts w:ascii="Times New Roman" w:hAnsi="Times New Roman" w:hint="default"/>
          <w:sz w:val="22"/>
          <w:szCs w:val="22"/>
          <w:rtl w:val="0"/>
          <w:lang w:val="en-US"/>
        </w:rPr>
        <w:t>“</w:t>
      </w:r>
      <w:r>
        <w:rPr>
          <w:rFonts w:ascii="Times New Roman" w:hAnsi="Times New Roman"/>
          <w:sz w:val="22"/>
          <w:szCs w:val="22"/>
          <w:rtl w:val="0"/>
          <w:lang w:val="en-US"/>
        </w:rPr>
        <w:t>Opportunity Cost,</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2023). When we discuss opportunity cost in business, </w:t>
      </w:r>
    </w:p>
    <w:p>
      <w:pPr>
        <w:pStyle w:val="Normal.0"/>
        <w:spacing w:line="480" w:lineRule="auto"/>
        <w:rPr>
          <w:rFonts w:ascii="Times New Roman" w:cs="Times New Roman" w:hAnsi="Times New Roman" w:eastAsia="Times New Roman"/>
          <w:sz w:val="22"/>
          <w:szCs w:val="22"/>
        </w:rPr>
      </w:pPr>
      <w:r>
        <w:rPr>
          <w:rFonts w:ascii="Times New Roman" w:hAnsi="Times New Roman"/>
          <w:i w:val="1"/>
          <w:iCs w:val="1"/>
          <w:sz w:val="22"/>
          <w:szCs w:val="22"/>
          <w:rtl w:val="0"/>
          <w:lang w:val="en-US"/>
        </w:rPr>
        <w:t>OC</w:t>
      </w:r>
      <w:r>
        <w:rPr>
          <w:rFonts w:ascii="Times New Roman" w:hAnsi="Times New Roman"/>
          <w:sz w:val="22"/>
          <w:szCs w:val="22"/>
          <w:rtl w:val="0"/>
          <w:lang w:val="en-US"/>
        </w:rPr>
        <w:t xml:space="preserve"> (opportunity cost) = </w:t>
      </w:r>
      <w:r>
        <w:rPr>
          <w:rFonts w:ascii="Times New Roman" w:hAnsi="Times New Roman"/>
          <w:i w:val="1"/>
          <w:iCs w:val="1"/>
          <w:sz w:val="22"/>
          <w:szCs w:val="22"/>
          <w:rtl w:val="0"/>
          <w:lang w:val="en-US"/>
        </w:rPr>
        <w:t>FO</w:t>
      </w:r>
      <w:r>
        <w:rPr>
          <w:rFonts w:ascii="Gungsuh" w:cs="Gungsuh" w:hAnsi="Gungsuh" w:eastAsia="Gungsuh"/>
          <w:sz w:val="22"/>
          <w:szCs w:val="22"/>
          <w:rtl w:val="0"/>
          <w:lang w:val="en-US"/>
        </w:rPr>
        <w:t xml:space="preserve"> (return on best forgone option) </w:t>
      </w:r>
      <w:r>
        <w:rPr>
          <w:rFonts w:ascii="Gungsuh" w:cs="Gungsuh" w:hAnsi="Gungsuh" w:eastAsia="Gungsuh"/>
          <w:sz w:val="22"/>
          <w:szCs w:val="22"/>
          <w:rtl w:val="0"/>
          <w:lang w:val="en-US"/>
        </w:rPr>
        <w:t xml:space="preserve">− </w:t>
      </w:r>
      <w:r>
        <w:rPr>
          <w:rFonts w:ascii="Times New Roman" w:hAnsi="Times New Roman"/>
          <w:i w:val="1"/>
          <w:iCs w:val="1"/>
          <w:sz w:val="22"/>
          <w:szCs w:val="22"/>
          <w:rtl w:val="0"/>
          <w:lang w:val="en-US"/>
        </w:rPr>
        <w:t>CO</w:t>
      </w:r>
      <w:r>
        <w:rPr>
          <w:rFonts w:ascii="Times New Roman" w:hAnsi="Times New Roman"/>
          <w:sz w:val="22"/>
          <w:szCs w:val="22"/>
          <w:rtl w:val="0"/>
          <w:lang w:val="en-US"/>
        </w:rPr>
        <w:t xml:space="preserve"> (return on chosen option) </w:t>
      </w:r>
    </w:p>
    <w:p>
      <w:pPr>
        <w:pStyle w:val="Normal.0"/>
        <w:spacing w:line="480" w:lineRule="auto"/>
        <w:rPr>
          <w:rFonts w:ascii="Times New Roman" w:cs="Times New Roman" w:hAnsi="Times New Roman" w:eastAsia="Times New Roman"/>
          <w:sz w:val="22"/>
          <w:szCs w:val="22"/>
        </w:rPr>
      </w:pPr>
      <w:r>
        <w:rPr>
          <w:rFonts w:ascii="Times New Roman" w:hAnsi="Times New Roman"/>
          <w:sz w:val="22"/>
          <w:szCs w:val="22"/>
          <w:rtl w:val="0"/>
          <w:lang w:val="en-US"/>
        </w:rPr>
        <w:t>(Fernando, 2023). Due to the high utilization rate of environmental resources and the damage suffered by the environment, many businesses are thinking about reducing their environmental impact. At the same time, the switch to sustainable practices will consume a lot of money. Therefore, some enterprises give up the goal of sustainable development to obtain higher profits. In practice, sustainable development and business are not contradictory. For instance, in Mexico, PepsiCo partnered with local farmers to switch from corn to sustainable sunflowers. PepsiCo thinks that investing in environmental, social and governance (ESG) investing is essential and will help their business thrive in the long term (</w:t>
      </w:r>
      <w:r>
        <w:rPr>
          <w:rFonts w:ascii="Times New Roman" w:hAnsi="Times New Roman" w:hint="default"/>
          <w:sz w:val="22"/>
          <w:szCs w:val="22"/>
          <w:rtl w:val="0"/>
          <w:lang w:val="en-US"/>
        </w:rPr>
        <w:t>“</w:t>
      </w:r>
      <w:r>
        <w:rPr>
          <w:rFonts w:ascii="Times New Roman" w:hAnsi="Times New Roman"/>
          <w:sz w:val="22"/>
          <w:szCs w:val="22"/>
          <w:rtl w:val="0"/>
          <w:lang w:val="en-US"/>
        </w:rPr>
        <w:t>PepsiCo ESG Summary,</w:t>
      </w:r>
      <w:r>
        <w:rPr>
          <w:rFonts w:ascii="Times New Roman" w:hAnsi="Times New Roman" w:hint="default"/>
          <w:sz w:val="22"/>
          <w:szCs w:val="22"/>
          <w:rtl w:val="0"/>
          <w:lang w:val="en-US"/>
        </w:rPr>
        <w:t xml:space="preserve">” </w:t>
      </w:r>
      <w:r>
        <w:rPr>
          <w:rFonts w:ascii="Times New Roman" w:hAnsi="Times New Roman"/>
          <w:sz w:val="22"/>
          <w:szCs w:val="22"/>
          <w:rtl w:val="0"/>
          <w:lang w:val="en-US"/>
        </w:rPr>
        <w:t>2023).</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PepsiCo created a goal of zero carbon emissions by 2040, and made a detailed plan for agriculture, packaging, direct operation, third-party manufacturing, and more (</w:t>
      </w:r>
      <w:r>
        <w:rPr>
          <w:rFonts w:ascii="Times New Roman" w:hAnsi="Times New Roman" w:hint="default"/>
          <w:sz w:val="22"/>
          <w:szCs w:val="22"/>
          <w:rtl w:val="0"/>
          <w:lang w:val="en-US"/>
        </w:rPr>
        <w:t>“</w:t>
      </w:r>
      <w:r>
        <w:rPr>
          <w:rFonts w:ascii="Times New Roman" w:hAnsi="Times New Roman"/>
          <w:sz w:val="22"/>
          <w:szCs w:val="22"/>
          <w:rtl w:val="0"/>
          <w:lang w:val="en-US"/>
        </w:rPr>
        <w:t>Climate Change,</w:t>
      </w:r>
      <w:r>
        <w:rPr>
          <w:rFonts w:ascii="Times New Roman" w:hAnsi="Times New Roman" w:hint="default"/>
          <w:sz w:val="22"/>
          <w:szCs w:val="22"/>
          <w:rtl w:val="0"/>
          <w:lang w:val="en-US"/>
        </w:rPr>
        <w:t xml:space="preserve">” </w:t>
      </w:r>
      <w:r>
        <w:rPr>
          <w:rFonts w:ascii="Times New Roman" w:hAnsi="Times New Roman"/>
          <w:sz w:val="22"/>
          <w:szCs w:val="22"/>
          <w:rtl w:val="0"/>
          <w:lang w:val="en-US"/>
        </w:rPr>
        <w:t>2023a). Several changes have been made to the production steps and raw materials. In this study, the application of opportunity cost in PepsiCo's business decision will be explained in detail, and the rationality of the choice will be compared through calculation. Furthermore, this study combines consumer preference literature, primary data obtained by questionnaire, and professional suggestions for sustainable development collected in interviews to analyze and explain in detail the impact of ESG business decision on customers, partners, and even society. Benefits and disadvantages to ESG are explained. Much of the existing business literature overlooks sustainable development in major companies. This article will focus on PepsiCo and analyze its decisions using an economic framework.</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This paper is divided into seven parts: literature review, purpose, research methods, case analysis, results, conclusion, and references.</w:t>
      </w:r>
    </w:p>
    <w:p>
      <w:pPr>
        <w:pStyle w:val="Normal.0"/>
        <w:spacing w:line="480" w:lineRule="auto"/>
        <w:rPr>
          <w:rFonts w:ascii="Times New Roman" w:cs="Times New Roman" w:hAnsi="Times New Roman" w:eastAsia="Times New Roman"/>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Purpose</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Through this research, I want to (1) explain the relationship between opportunity cost and business choices made by companies regarding sustainable development, and (2) understand consumers' opinions on their measures through questionnaire surveys. The paper will explain when the ESG decision is a benefit or loss for an enterprise, as well as the impact ESG commitments on consumers and society.</w:t>
      </w:r>
    </w:p>
    <w:p>
      <w:pPr>
        <w:pStyle w:val="Normal.0"/>
        <w:spacing w:line="480" w:lineRule="auto"/>
        <w:rPr>
          <w:rFonts w:ascii="Times New Roman" w:cs="Times New Roman" w:hAnsi="Times New Roman" w:eastAsia="Times New Roman"/>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Research methods</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 xml:space="preserve">The study uses an opportunity cost estimation to determine whether ESG investments can bring economic benefits to PepsiCo or contribute to sustainable projects. Second, a questionnaire survey was conducted on consumer responses in the early stages of the project. The survey data will also be used to support the interpretation of consumers' perception of PepsiCo's plans to achieve its sustainability goals along with interviews with PepsiCo employees who are committed to sustainable development. </w:t>
      </w: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Case </w:t>
      </w:r>
      <w:r>
        <w:rPr>
          <w:rFonts w:ascii="Times New Roman" w:hAnsi="Times New Roman"/>
          <w:b w:val="1"/>
          <w:bCs w:val="1"/>
          <w:sz w:val="22"/>
          <w:szCs w:val="22"/>
          <w:rtl w:val="0"/>
          <w:lang w:val="en-US"/>
        </w:rPr>
        <w:t>A</w:t>
      </w: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nalysis</w:t>
      </w: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Consumer Perception of ESG</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Employees and customers are willing to pay significantly more to do business with a company with an ESG policy (Finger &amp; Rosenboim, 2022). There are direct positive effects of social and governance dimensions of perceived ESG on brand credibility, brand image, and perceived quality (Koh et al., 2022). Food and beverage companies</w:t>
      </w:r>
      <w:r>
        <w:rPr>
          <w:rFonts w:ascii="Times New Roman" w:hAnsi="Times New Roman" w:hint="default"/>
          <w:sz w:val="22"/>
          <w:szCs w:val="22"/>
          <w:rtl w:val="0"/>
          <w:lang w:val="en-US"/>
        </w:rPr>
        <w:t xml:space="preserve">’ </w:t>
      </w:r>
      <w:r>
        <w:rPr>
          <w:rFonts w:ascii="Times New Roman" w:hAnsi="Times New Roman"/>
          <w:sz w:val="22"/>
          <w:szCs w:val="22"/>
          <w:rtl w:val="0"/>
          <w:lang w:val="en-US"/>
        </w:rPr>
        <w:t>ESG management activities directly affect consumers</w:t>
      </w:r>
      <w:r>
        <w:rPr>
          <w:rFonts w:ascii="Times New Roman" w:hAnsi="Times New Roman" w:hint="default"/>
          <w:sz w:val="22"/>
          <w:szCs w:val="22"/>
          <w:rtl w:val="0"/>
          <w:lang w:val="en-US"/>
        </w:rPr>
        <w:t xml:space="preserve">’ </w:t>
      </w:r>
      <w:r>
        <w:rPr>
          <w:rFonts w:ascii="Times New Roman" w:hAnsi="Times New Roman"/>
          <w:sz w:val="22"/>
          <w:szCs w:val="22"/>
          <w:rtl w:val="0"/>
          <w:lang w:val="en-US"/>
        </w:rPr>
        <w:t>brand trust and word-of-mouth intention (Bae et al., 2023). However, company performance does not seem to be affected by ESG commitments (La Torre, 2020). ESG reporting does not fully explain customer perception of social innovativeness (Aksoy, 2022).</w:t>
      </w: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Opportunity Cost at PepsiCo</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PepsiCo's definition of sustainable development goals does not align with the traditional sense of reducing carbon emissions or making positive contributions to the environment. Through this project, they also hope to combine different regional characteristics to expand sales scale and social influence to improve affinity and company image (PepsiCo, personal communication, July 2023). For example, in South Africa in April 2021, PepsiCo built a football field with 100% recyclable turf and shock-absorbing layers (</w:t>
      </w:r>
      <w:r>
        <w:rPr>
          <w:rFonts w:ascii="Times New Roman" w:hAnsi="Times New Roman" w:hint="default"/>
          <w:sz w:val="22"/>
          <w:szCs w:val="22"/>
          <w:rtl w:val="0"/>
          <w:lang w:val="en-US"/>
        </w:rPr>
        <w:t>“</w:t>
      </w:r>
      <w:r>
        <w:rPr>
          <w:rFonts w:ascii="Times New Roman" w:hAnsi="Times New Roman"/>
          <w:sz w:val="22"/>
          <w:szCs w:val="22"/>
          <w:rtl w:val="0"/>
          <w:lang w:val="en-US"/>
        </w:rPr>
        <w:t>Lay</w:t>
      </w:r>
      <w:r>
        <w:rPr>
          <w:rFonts w:ascii="Times New Roman" w:hAnsi="Times New Roman" w:hint="default"/>
          <w:sz w:val="22"/>
          <w:szCs w:val="22"/>
          <w:rtl w:val="0"/>
          <w:lang w:val="en-US"/>
        </w:rPr>
        <w:t>’</w:t>
      </w:r>
      <w:r>
        <w:rPr>
          <w:rFonts w:ascii="Times New Roman" w:hAnsi="Times New Roman"/>
          <w:sz w:val="22"/>
          <w:szCs w:val="22"/>
          <w:rtl w:val="0"/>
          <w:lang w:val="en-US"/>
        </w:rPr>
        <w:t>s Replay,</w:t>
      </w:r>
      <w:r>
        <w:rPr>
          <w:rFonts w:ascii="Times New Roman" w:hAnsi="Times New Roman" w:hint="default"/>
          <w:sz w:val="22"/>
          <w:szCs w:val="22"/>
          <w:rtl w:val="0"/>
          <w:lang w:val="en-US"/>
        </w:rPr>
        <w:t xml:space="preserve">” </w:t>
      </w:r>
      <w:r>
        <w:rPr>
          <w:rFonts w:ascii="Times New Roman" w:hAnsi="Times New Roman"/>
          <w:sz w:val="22"/>
          <w:szCs w:val="22"/>
          <w:rtl w:val="0"/>
          <w:lang w:val="en-US"/>
        </w:rPr>
        <w:t>2021). The shock-absorbing layer is made from recycled potato chip packaging. The move required the consumption of more than three million potato chip packages. These potato chip packages built a football field and reduced greenhouse gas emissions by 128 tons compared with traditional construction methods, which is equivalent to taking 27 cars off the road for a whole year  (</w:t>
      </w:r>
      <w:r>
        <w:rPr>
          <w:rFonts w:ascii="Times New Roman" w:hAnsi="Times New Roman" w:hint="default"/>
          <w:sz w:val="22"/>
          <w:szCs w:val="22"/>
          <w:rtl w:val="0"/>
          <w:lang w:val="en-US"/>
        </w:rPr>
        <w:t>“</w:t>
      </w:r>
      <w:r>
        <w:rPr>
          <w:rFonts w:ascii="Times New Roman" w:hAnsi="Times New Roman"/>
          <w:sz w:val="22"/>
          <w:szCs w:val="22"/>
          <w:rtl w:val="0"/>
          <w:lang w:val="en-US"/>
        </w:rPr>
        <w:t>Lay</w:t>
      </w:r>
      <w:r>
        <w:rPr>
          <w:rFonts w:ascii="Times New Roman" w:hAnsi="Times New Roman" w:hint="default"/>
          <w:sz w:val="22"/>
          <w:szCs w:val="22"/>
          <w:rtl w:val="0"/>
          <w:lang w:val="en-US"/>
        </w:rPr>
        <w:t>’</w:t>
      </w:r>
      <w:r>
        <w:rPr>
          <w:rFonts w:ascii="Times New Roman" w:hAnsi="Times New Roman"/>
          <w:sz w:val="22"/>
          <w:szCs w:val="22"/>
          <w:rtl w:val="0"/>
          <w:lang w:val="en-US"/>
        </w:rPr>
        <w:t>s Replay,</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2021). </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In terms of opportunity cost, what PepsiCo loses is more than three million potato chip packages and the money to build the stadium, and what it gets is the reduction of 128 tons of greenhouse gases (</w:t>
      </w:r>
      <w:r>
        <w:rPr>
          <w:rFonts w:ascii="Times New Roman" w:hAnsi="Times New Roman" w:hint="default"/>
          <w:sz w:val="22"/>
          <w:szCs w:val="22"/>
          <w:rtl w:val="0"/>
          <w:lang w:val="en-US"/>
        </w:rPr>
        <w:t>“</w:t>
      </w:r>
      <w:r>
        <w:rPr>
          <w:rFonts w:ascii="Times New Roman" w:hAnsi="Times New Roman"/>
          <w:sz w:val="22"/>
          <w:szCs w:val="22"/>
          <w:rtl w:val="0"/>
          <w:lang w:val="en-US"/>
        </w:rPr>
        <w:t>Lay</w:t>
      </w:r>
      <w:r>
        <w:rPr>
          <w:rFonts w:ascii="Times New Roman" w:hAnsi="Times New Roman" w:hint="default"/>
          <w:sz w:val="22"/>
          <w:szCs w:val="22"/>
          <w:rtl w:val="0"/>
          <w:lang w:val="en-US"/>
        </w:rPr>
        <w:t>’</w:t>
      </w:r>
      <w:r>
        <w:rPr>
          <w:rFonts w:ascii="Times New Roman" w:hAnsi="Times New Roman"/>
          <w:sz w:val="22"/>
          <w:szCs w:val="22"/>
          <w:rtl w:val="0"/>
          <w:lang w:val="en-US"/>
        </w:rPr>
        <w:t>s Replay,</w:t>
      </w:r>
      <w:r>
        <w:rPr>
          <w:rFonts w:ascii="Times New Roman" w:hAnsi="Times New Roman" w:hint="default"/>
          <w:sz w:val="22"/>
          <w:szCs w:val="22"/>
          <w:rtl w:val="0"/>
          <w:lang w:val="en-US"/>
        </w:rPr>
        <w:t xml:space="preserve">” </w:t>
      </w:r>
      <w:r>
        <w:rPr>
          <w:rFonts w:ascii="Times New Roman" w:hAnsi="Times New Roman"/>
          <w:sz w:val="22"/>
          <w:szCs w:val="22"/>
          <w:rtl w:val="0"/>
          <w:lang w:val="en-US"/>
        </w:rPr>
        <w:t>2021), which slows down the greenhouse effect. At the same time, they let refugees play football. In other words, what they get is social influence in South Africa and a corporate image that cares about the underprivileged. This is a very worthwhile trade. They have gained far more than they have lost. Social influence is sometimes considered to be unreliable, but in this case, it's the key to making a profit. The numbers speak volumes for what PepsiCo has achieved. After the public, especially the South African people know about this, they will be positively influenced, and they will be willing to buy PepsiCo's products because they feel that their purchase of products is also helping PepsiCo reduce more carbon emissions. As sales increase, profits naturally increase. The profits obtained can be used for further research and development on recycling product packaging, use of renewable energy, production chains, and more.</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A second example concerns technologies that recycle water. First, it is common knowledge that drinking water resources are very scarce. As a result, PepsiCo has chosen to use recycled water technology in India to reduce water consumption at its factories. The team has reduced water usage by 70 percent at the Channo facility since 2016 (Manpreet, personal communication, July 2023). The team is creating rainwater harvesting ponds and collecting water from villages, which is treated and being reused locally. Second, The Fanta factory is in Colombia, one of the rainiest countries in the world (</w:t>
      </w:r>
      <w:r>
        <w:rPr>
          <w:rFonts w:ascii="Times New Roman" w:hAnsi="Times New Roman" w:hint="default"/>
          <w:sz w:val="22"/>
          <w:szCs w:val="22"/>
          <w:rtl w:val="0"/>
          <w:lang w:val="en-US"/>
        </w:rPr>
        <w:t>“</w:t>
      </w:r>
      <w:r>
        <w:rPr>
          <w:rFonts w:ascii="Times New Roman" w:hAnsi="Times New Roman"/>
          <w:sz w:val="22"/>
          <w:szCs w:val="22"/>
          <w:rtl w:val="0"/>
          <w:lang w:val="en-US"/>
        </w:rPr>
        <w:t>PepsiCo ESG Summary,</w:t>
      </w:r>
      <w:r>
        <w:rPr>
          <w:rFonts w:ascii="Times New Roman" w:hAnsi="Times New Roman" w:hint="default"/>
          <w:sz w:val="22"/>
          <w:szCs w:val="22"/>
          <w:rtl w:val="0"/>
          <w:lang w:val="en-US"/>
        </w:rPr>
        <w:t xml:space="preserve">” </w:t>
      </w:r>
      <w:r>
        <w:rPr>
          <w:rFonts w:ascii="Times New Roman" w:hAnsi="Times New Roman"/>
          <w:sz w:val="22"/>
          <w:szCs w:val="22"/>
          <w:rtl w:val="0"/>
          <w:lang w:val="en-US"/>
        </w:rPr>
        <w:t>2023b). They thought of using rainfall to recycle water and purify it for reuse in production. They just needed to figure out how to keep the rainwater out of contact with the groundwater and to be able to collect a lot of rainwater. Later, the factory achieved the result of zero use of fresh water, and the factory has a water circulation system. Considering the water usage rate, PepsiCo will replenish 100% of the water used by the factory back to the river in 2021 and has replenished 6.1 billion liters of water. PepsiCo intends to invest $2.1 million to support wetland restoration in Winter Haven, Florida. PepsiCo and the PepsiCo Foundation have helped deliver to more than 80 million people globally over the past 15 years (</w:t>
      </w:r>
      <w:r>
        <w:rPr>
          <w:rFonts w:ascii="Times New Roman" w:hAnsi="Times New Roman" w:hint="default"/>
          <w:sz w:val="22"/>
          <w:szCs w:val="22"/>
          <w:rtl w:val="0"/>
          <w:lang w:val="en-US"/>
        </w:rPr>
        <w:t>“</w:t>
      </w:r>
      <w:r>
        <w:rPr>
          <w:rFonts w:ascii="Times New Roman" w:hAnsi="Times New Roman"/>
          <w:sz w:val="22"/>
          <w:szCs w:val="22"/>
          <w:rtl w:val="0"/>
          <w:lang w:val="en-US"/>
        </w:rPr>
        <w:t>PepsiCo ESG Summary,</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2023b). </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The proportion of PepsiCo</w:t>
      </w:r>
      <w:r>
        <w:rPr>
          <w:rFonts w:ascii="Times New Roman" w:hAnsi="Times New Roman" w:hint="default"/>
          <w:sz w:val="22"/>
          <w:szCs w:val="22"/>
          <w:rtl w:val="0"/>
          <w:lang w:val="en-US"/>
        </w:rPr>
        <w:t>’</w:t>
      </w:r>
      <w:r>
        <w:rPr>
          <w:rFonts w:ascii="Times New Roman" w:hAnsi="Times New Roman"/>
          <w:sz w:val="22"/>
          <w:szCs w:val="22"/>
          <w:rtl w:val="0"/>
          <w:lang w:val="en-US"/>
        </w:rPr>
        <w:t xml:space="preserve">s investment in recycling and reuse of water resources is huge, even without return. In terms of money, </w:t>
      </w:r>
      <w:r>
        <w:rPr>
          <w:rFonts w:ascii="Times New Roman" w:hAnsi="Times New Roman"/>
          <w:i w:val="1"/>
          <w:iCs w:val="1"/>
          <w:sz w:val="22"/>
          <w:szCs w:val="22"/>
          <w:rtl w:val="0"/>
          <w:lang w:val="en-US"/>
        </w:rPr>
        <w:t>FO</w:t>
      </w:r>
      <w:r>
        <w:rPr>
          <w:rFonts w:ascii="Times New Roman" w:hAnsi="Times New Roman"/>
          <w:sz w:val="22"/>
          <w:szCs w:val="22"/>
          <w:rtl w:val="0"/>
          <w:lang w:val="en-US"/>
        </w:rPr>
        <w:t xml:space="preserve"> includes the cost of hiring a team, the technical cost of recycling rainwater (very high), the treatment cost of separating rainwater from groundwater, and the cost of resupplying water to the factory, and even PepsiCo invested 2.1 million dollars to help wetlands achieve water recycling and reuse. Economically, the choice of </w:t>
      </w:r>
      <w:r>
        <w:rPr>
          <w:rFonts w:ascii="Times New Roman" w:hAnsi="Times New Roman"/>
          <w:i w:val="1"/>
          <w:iCs w:val="1"/>
          <w:sz w:val="22"/>
          <w:szCs w:val="22"/>
          <w:rtl w:val="0"/>
          <w:lang w:val="en-US"/>
        </w:rPr>
        <w:t>FO</w:t>
      </w:r>
      <w:r>
        <w:rPr>
          <w:rFonts w:ascii="Times New Roman" w:hAnsi="Times New Roman"/>
          <w:sz w:val="22"/>
          <w:szCs w:val="22"/>
          <w:rtl w:val="0"/>
          <w:lang w:val="en-US"/>
        </w:rPr>
        <w:t xml:space="preserve"> close to </w:t>
      </w:r>
      <w:r>
        <w:rPr>
          <w:rFonts w:ascii="Times New Roman" w:hAnsi="Times New Roman"/>
          <w:i w:val="1"/>
          <w:iCs w:val="1"/>
          <w:sz w:val="22"/>
          <w:szCs w:val="22"/>
          <w:rtl w:val="0"/>
          <w:lang w:val="en-US"/>
        </w:rPr>
        <w:t>CO</w:t>
      </w:r>
      <w:r>
        <w:rPr>
          <w:rFonts w:ascii="Times New Roman" w:hAnsi="Times New Roman"/>
          <w:sz w:val="22"/>
          <w:szCs w:val="22"/>
          <w:rtl w:val="0"/>
          <w:lang w:val="en-US"/>
        </w:rPr>
        <w:t>, meaning the opportunity cost (</w:t>
      </w:r>
      <w:r>
        <w:rPr>
          <w:rFonts w:ascii="Times New Roman" w:hAnsi="Times New Roman"/>
          <w:i w:val="1"/>
          <w:iCs w:val="1"/>
          <w:sz w:val="22"/>
          <w:szCs w:val="22"/>
          <w:rtl w:val="0"/>
          <w:lang w:val="en-US"/>
        </w:rPr>
        <w:t xml:space="preserve">FO </w:t>
      </w:r>
      <w:r>
        <w:rPr>
          <w:rFonts w:ascii="Times New Roman" w:hAnsi="Times New Roman"/>
          <w:sz w:val="22"/>
          <w:szCs w:val="22"/>
          <w:rtl w:val="0"/>
          <w:lang w:val="en-US"/>
        </w:rPr>
        <w:t xml:space="preserve">- </w:t>
      </w:r>
      <w:r>
        <w:rPr>
          <w:rFonts w:ascii="Times New Roman" w:hAnsi="Times New Roman"/>
          <w:i w:val="1"/>
          <w:iCs w:val="1"/>
          <w:sz w:val="22"/>
          <w:szCs w:val="22"/>
          <w:rtl w:val="0"/>
          <w:lang w:val="en-US"/>
        </w:rPr>
        <w:t>CO</w:t>
      </w:r>
      <w:r>
        <w:rPr>
          <w:rFonts w:ascii="Times New Roman" w:hAnsi="Times New Roman"/>
          <w:sz w:val="22"/>
          <w:szCs w:val="22"/>
          <w:rtl w:val="0"/>
          <w:lang w:val="en-US"/>
        </w:rPr>
        <w:t>) is not equal to zero. This business choice helps PepsiCo grow. From a business perspective, this choice has helped PepsiCo make progress in its sustainability program. At the same time, it has gained good social influence and corporate image. This is also technological progress, and it is a very big progress in reducing greenhouse gas emissions. This choice is correct, it reflects PepsiCo's sense of responsibility and his original intention to bring smiles to customers and the planet.</w:t>
      </w:r>
    </w:p>
    <w:p>
      <w:pPr>
        <w:pStyle w:val="Normal.0"/>
        <w:spacing w:line="480" w:lineRule="auto"/>
        <w:jc w:val="center"/>
      </w:pPr>
      <w:r>
        <w:br w:type="page"/>
      </w:r>
    </w:p>
    <w:p>
      <w:pPr>
        <w:pStyle w:val="Normal.0"/>
        <w:spacing w:line="480" w:lineRule="auto"/>
        <w:jc w:val="center"/>
        <w:rPr>
          <w:rFonts w:ascii="Times New Roman" w:cs="Times New Roman" w:hAnsi="Times New Roman" w:eastAsia="Times New Roman"/>
          <w:sz w:val="22"/>
          <w:szCs w:val="22"/>
        </w:rPr>
      </w:pPr>
      <w:r>
        <w:rPr>
          <w:rFonts w:ascii="Times New Roman" w:hAnsi="Times New Roman"/>
          <w:b w:val="1"/>
          <w:bCs w:val="1"/>
          <w:sz w:val="22"/>
          <w:szCs w:val="22"/>
          <w:rtl w:val="0"/>
          <w:lang w:val="en-US"/>
        </w:rPr>
        <w:t xml:space="preserve">Survey </w:t>
      </w: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Results</w:t>
      </w:r>
    </w:p>
    <w:p>
      <w:pPr>
        <w:pStyle w:val="Normal.0"/>
        <w:spacing w:line="48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Figure 1</w:t>
      </w:r>
    </w:p>
    <w:p>
      <w:pPr>
        <w:pStyle w:val="Normal.0"/>
        <w:spacing w:line="480" w:lineRule="auto"/>
        <w:jc w:val="left"/>
        <w:rPr>
          <w:rFonts w:ascii="Times New Roman" w:cs="Times New Roman" w:hAnsi="Times New Roman" w:eastAsia="Times New Roman"/>
          <w:i w:val="1"/>
          <w:iCs w:val="1"/>
          <w:sz w:val="22"/>
          <w:szCs w:val="22"/>
        </w:rPr>
      </w:pPr>
      <w:r>
        <w:rPr>
          <w:rFonts w:ascii="Times New Roman" w:hAnsi="Times New Roman"/>
          <w:i w:val="1"/>
          <w:iCs w:val="1"/>
          <w:sz w:val="22"/>
          <w:szCs w:val="22"/>
          <w:rtl w:val="0"/>
          <w:lang w:val="en-US"/>
        </w:rPr>
        <w:t>Basic Information on Questionnaire</w:t>
      </w:r>
    </w:p>
    <w:p>
      <w:pPr>
        <w:pStyle w:val="Normal.0"/>
        <w:spacing w:line="480" w:lineRule="auto"/>
        <w:ind w:left="440" w:firstLine="0"/>
        <w:jc w:val="cente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4110038" cy="3359657"/>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4110038" cy="3359657"/>
                    </a:xfrm>
                    <a:prstGeom prst="rect">
                      <a:avLst/>
                    </a:prstGeom>
                    <a:ln w="12700" cap="flat">
                      <a:noFill/>
                      <a:miter lim="400000"/>
                    </a:ln>
                    <a:effectLst/>
                  </pic:spPr>
                </pic:pic>
              </a:graphicData>
            </a:graphic>
          </wp:inline>
        </w:drawing>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p>
    <w:p>
      <w:pPr>
        <w:pStyle w:val="Normal.0"/>
        <w:spacing w:line="480" w:lineRule="auto"/>
        <w:ind w:left="440" w:firstLine="0"/>
        <w:jc w:val="cente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4291036" cy="3409317"/>
            <wp:effectExtent l="0" t="0" r="0" b="0"/>
            <wp:docPr id="1073741826" name="officeArt object" descr="图表&#10;&#10;描述已自动生成"/>
            <wp:cNvGraphicFramePr/>
            <a:graphic xmlns:a="http://schemas.openxmlformats.org/drawingml/2006/main">
              <a:graphicData uri="http://schemas.openxmlformats.org/drawingml/2006/picture">
                <pic:pic xmlns:pic="http://schemas.openxmlformats.org/drawingml/2006/picture">
                  <pic:nvPicPr>
                    <pic:cNvPr id="1073741826" name="图表描述已自动生成" descr="图表描述已自动生成"/>
                    <pic:cNvPicPr>
                      <a:picLocks noChangeAspect="1"/>
                    </pic:cNvPicPr>
                  </pic:nvPicPr>
                  <pic:blipFill>
                    <a:blip r:embed="rId5">
                      <a:extLst/>
                    </a:blip>
                    <a:stretch>
                      <a:fillRect/>
                    </a:stretch>
                  </pic:blipFill>
                  <pic:spPr>
                    <a:xfrm>
                      <a:off x="0" y="0"/>
                      <a:ext cx="4291036" cy="3409317"/>
                    </a:xfrm>
                    <a:prstGeom prst="rect">
                      <a:avLst/>
                    </a:prstGeom>
                    <a:ln w="12700" cap="flat">
                      <a:noFill/>
                      <a:miter lim="400000"/>
                    </a:ln>
                    <a:effectLst/>
                  </pic:spPr>
                </pic:pic>
              </a:graphicData>
            </a:graphic>
          </wp:inline>
        </w:drawing>
      </w:r>
    </w:p>
    <w:p>
      <w:pPr>
        <w:pStyle w:val="Normal.0"/>
        <w:spacing w:line="480" w:lineRule="auto"/>
        <w:ind w:firstLine="720"/>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The total number of questionnaires released </w:t>
      </w:r>
      <w:r>
        <w:rPr>
          <w:rFonts w:ascii="Times New Roman" w:hAnsi="Times New Roman"/>
          <w:sz w:val="22"/>
          <w:szCs w:val="22"/>
          <w:rtl w:val="0"/>
          <w:lang w:val="en-US"/>
        </w:rPr>
        <w:t>wa</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102, and the people are distributed in different age groups</w:t>
      </w:r>
      <w:r>
        <w:rPr>
          <w:rFonts w:ascii="Times New Roman" w:hAnsi="Times New Roman"/>
          <w:sz w:val="22"/>
          <w:szCs w:val="22"/>
          <w:rtl w:val="0"/>
          <w:lang w:val="en-US"/>
        </w:rPr>
        <w:t>. M</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ost of the age groups surveyed by the questionnaire are in line with PepsiCo's wide-ranging target customer group</w:t>
      </w:r>
      <w:r>
        <w:rPr>
          <w:rFonts w:ascii="Times New Roman" w:hAnsi="Times New Roman"/>
          <w:sz w:val="22"/>
          <w:szCs w:val="22"/>
          <w:rtl w:val="0"/>
          <w:lang w:val="en-US"/>
        </w:rPr>
        <w:t xml:space="preserve">. </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Most of the respondents are the members of the general public, but there are also professionals</w:t>
      </w:r>
      <w:r>
        <w:rPr>
          <w:rFonts w:ascii="Times New Roman" w:hAnsi="Times New Roman"/>
          <w:sz w:val="22"/>
          <w:szCs w:val="22"/>
          <w:rtl w:val="0"/>
          <w:lang w:val="en-US"/>
        </w:rPr>
        <w:t>:</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3.6% </w:t>
      </w:r>
      <w:r>
        <w:rPr>
          <w:rFonts w:ascii="Times New Roman" w:hAnsi="Times New Roman"/>
          <w:sz w:val="22"/>
          <w:szCs w:val="22"/>
          <w:rtl w:val="0"/>
          <w:lang w:val="en-US"/>
        </w:rPr>
        <w:t>we</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re environmentalists, 8.4% </w:t>
      </w:r>
      <w:r>
        <w:rPr>
          <w:rFonts w:ascii="Times New Roman" w:hAnsi="Times New Roman"/>
          <w:sz w:val="22"/>
          <w:szCs w:val="22"/>
          <w:rtl w:val="0"/>
          <w:lang w:val="en-US"/>
        </w:rPr>
        <w:t>we</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re someone in business, and 1.2% </w:t>
      </w:r>
      <w:r>
        <w:rPr>
          <w:rFonts w:ascii="Times New Roman" w:hAnsi="Times New Roman"/>
          <w:sz w:val="22"/>
          <w:szCs w:val="22"/>
          <w:rtl w:val="0"/>
          <w:lang w:val="en-US"/>
        </w:rPr>
        <w:t>we</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 someone with a background in agriculture</w:t>
      </w:r>
      <w:r>
        <w:rPr>
          <w:rFonts w:ascii="Times New Roman" w:hAnsi="Times New Roman"/>
          <w:sz w:val="22"/>
          <w:szCs w:val="22"/>
          <w:rtl w:val="0"/>
          <w:lang w:val="en-US"/>
        </w:rPr>
        <w:t xml:space="preserve"> (Fig. 1)</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Figure 2</w:t>
      </w:r>
    </w:p>
    <w:p>
      <w:pPr>
        <w:pStyle w:val="Normal.0"/>
        <w:spacing w:line="480" w:lineRule="auto"/>
        <w:rPr>
          <w:rFonts w:ascii="Times New Roman" w:cs="Times New Roman" w:hAnsi="Times New Roman" w:eastAsia="Times New Roman"/>
          <w:i w:val="1"/>
          <w:iCs w:val="1"/>
          <w:sz w:val="22"/>
          <w:szCs w:val="22"/>
        </w:rPr>
      </w:pPr>
      <w:r>
        <w:rPr>
          <w:rFonts w:ascii="Times New Roman" w:hAnsi="Times New Roman"/>
          <w:i w:val="1"/>
          <w:iCs w:val="1"/>
          <w:sz w:val="22"/>
          <w:szCs w:val="22"/>
          <w:rtl w:val="0"/>
          <w:lang w:val="en-US"/>
        </w:rPr>
        <w:t>Questionnaire Respondents</w:t>
      </w:r>
    </w:p>
    <w:p>
      <w:pPr>
        <w:pStyle w:val="Normal.0"/>
        <w:spacing w:line="480" w:lineRule="auto"/>
        <w:ind w:left="440" w:firstLine="0"/>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4762500" cy="4679913"/>
            <wp:effectExtent l="0" t="0" r="0" b="0"/>
            <wp:docPr id="1073741827" name="officeArt object" descr="image5.png"/>
            <wp:cNvGraphicFramePr/>
            <a:graphic xmlns:a="http://schemas.openxmlformats.org/drawingml/2006/main">
              <a:graphicData uri="http://schemas.openxmlformats.org/drawingml/2006/picture">
                <pic:pic xmlns:pic="http://schemas.openxmlformats.org/drawingml/2006/picture">
                  <pic:nvPicPr>
                    <pic:cNvPr id="1073741827" name="image5.png" descr="image5.png"/>
                    <pic:cNvPicPr>
                      <a:picLocks noChangeAspect="1"/>
                    </pic:cNvPicPr>
                  </pic:nvPicPr>
                  <pic:blipFill>
                    <a:blip r:embed="rId6">
                      <a:extLst/>
                    </a:blip>
                    <a:stretch>
                      <a:fillRect/>
                    </a:stretch>
                  </pic:blipFill>
                  <pic:spPr>
                    <a:xfrm>
                      <a:off x="0" y="0"/>
                      <a:ext cx="4762500" cy="4679913"/>
                    </a:xfrm>
                    <a:prstGeom prst="rect">
                      <a:avLst/>
                    </a:prstGeom>
                    <a:ln w="12700" cap="flat">
                      <a:noFill/>
                      <a:miter lim="400000"/>
                    </a:ln>
                    <a:effectLst/>
                  </pic:spPr>
                </pic:pic>
              </a:graphicData>
            </a:graphic>
          </wp:inline>
        </w:drawing>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5229225" cy="3281082"/>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extLst/>
                    </a:blip>
                    <a:stretch>
                      <a:fillRect/>
                    </a:stretch>
                  </pic:blipFill>
                  <pic:spPr>
                    <a:xfrm>
                      <a:off x="0" y="0"/>
                      <a:ext cx="5229225" cy="3281082"/>
                    </a:xfrm>
                    <a:prstGeom prst="rect">
                      <a:avLst/>
                    </a:prstGeom>
                    <a:ln w="12700" cap="flat">
                      <a:noFill/>
                      <a:miter lim="400000"/>
                    </a:ln>
                    <a:effectLst/>
                  </pic:spPr>
                </pic:pic>
              </a:graphicData>
            </a:graphic>
          </wp:inline>
        </w:drawing>
      </w:r>
    </w:p>
    <w:p>
      <w:pPr>
        <w:pStyle w:val="Normal.0"/>
        <w:spacing w:line="480" w:lineRule="auto"/>
        <w:ind w:firstLine="720"/>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w:t>
      </w:r>
      <w:r>
        <w:rPr>
          <w:rFonts w:ascii="Times New Roman" w:hAnsi="Times New Roman"/>
          <w:sz w:val="22"/>
          <w:szCs w:val="22"/>
          <w:rtl w:val="0"/>
          <w:lang w:val="en-US"/>
        </w:rPr>
        <w:t xml:space="preserve"> survey found</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that 53.4% </w:t>
      </w:r>
      <w:r>
        <w:rPr>
          <w:rFonts w:ascii="Times New Roman" w:hAnsi="Times New Roman"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of the total number of respondents d</w:t>
      </w:r>
      <w:r>
        <w:rPr>
          <w:rFonts w:ascii="Times New Roman" w:hAnsi="Times New Roman"/>
          <w:sz w:val="22"/>
          <w:szCs w:val="22"/>
          <w:rtl w:val="0"/>
          <w:lang w:val="en-US"/>
        </w:rPr>
        <w:t>id</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not know about this project (Fig. 2). It shows that PepsiCo's contribution to sustainable projects is not understood by most people, but </w:t>
      </w:r>
      <w:r>
        <w:rPr>
          <w:rFonts w:ascii="Times New Roman" w:hAnsi="Times New Roman"/>
          <w:sz w:val="22"/>
          <w:szCs w:val="22"/>
          <w:rtl w:val="0"/>
          <w:lang w:val="en-US"/>
        </w:rPr>
        <w:t>according to PepsiCo</w:t>
      </w:r>
      <w:r>
        <w:rPr>
          <w:rFonts w:ascii="Times New Roman" w:hAnsi="Times New Roman" w:hint="default"/>
          <w:sz w:val="22"/>
          <w:szCs w:val="22"/>
          <w:rtl w:val="0"/>
          <w:lang w:val="en-US"/>
        </w:rPr>
        <w:t>’</w:t>
      </w:r>
      <w:r>
        <w:rPr>
          <w:rFonts w:ascii="Times New Roman" w:hAnsi="Times New Roman"/>
          <w:sz w:val="22"/>
          <w:szCs w:val="22"/>
          <w:rtl w:val="0"/>
          <w:lang w:val="en-US"/>
        </w:rPr>
        <w:t>s</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imes New Roman" w:hAnsi="Times New Roman"/>
          <w:sz w:val="22"/>
          <w:szCs w:val="22"/>
          <w:rtl w:val="0"/>
          <w:lang w:val="en-US"/>
        </w:rPr>
        <w:t>S</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ustainability </w:t>
      </w:r>
      <w:r>
        <w:rPr>
          <w:rFonts w:ascii="Times New Roman" w:hAnsi="Times New Roman"/>
          <w:sz w:val="22"/>
          <w:szCs w:val="22"/>
          <w:rtl w:val="0"/>
          <w:lang w:val="en-US"/>
        </w:rPr>
        <w:t>M</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anager, they hope that the contribution they make will be perceived by consumers. They want consumers to see the value behind the product. They released surveys targeting consumers in China, Thailand and elsewhere </w:t>
      </w:r>
      <w:r>
        <w:rPr>
          <w:rFonts w:ascii="Times New Roman" w:hAnsi="Times New Roman"/>
          <w:sz w:val="22"/>
          <w:szCs w:val="22"/>
          <w:rtl w:val="0"/>
          <w:lang w:val="en-US"/>
        </w:rPr>
        <w:t>(PepsiCo, personal communication, July 2023)</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imes New Roman" w:hAnsi="Times New Roman"/>
          <w:sz w:val="22"/>
          <w:szCs w:val="22"/>
          <w:rtl w:val="0"/>
          <w:lang w:val="en-US"/>
        </w:rPr>
        <w:t>Unfortunately</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the survey data shows that consumers' perception is not high. The</w:t>
      </w:r>
      <w:r>
        <w:rPr>
          <w:rFonts w:ascii="Times New Roman" w:hAnsi="Times New Roman"/>
          <w:sz w:val="22"/>
          <w:szCs w:val="22"/>
          <w:rtl w:val="0"/>
          <w:lang w:val="en-US"/>
        </w:rPr>
        <w:t xml:space="preserve"> customer base</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does not understand PepsiCo's contribution to the environment. Therefore, </w:t>
      </w:r>
      <w:r>
        <w:rPr>
          <w:rFonts w:ascii="Times New Roman" w:hAnsi="Times New Roman"/>
          <w:sz w:val="22"/>
          <w:szCs w:val="22"/>
          <w:rtl w:val="0"/>
          <w:lang w:val="en-US"/>
        </w:rPr>
        <w:t>PepsiCo must strategize</w:t>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to publicize this achievement or increase changes at the consumer level to attract consumers' attention.</w:t>
      </w:r>
    </w:p>
    <w:p>
      <w:pPr>
        <w:pStyle w:val="Normal.0"/>
        <w:spacing w:line="480" w:lineRule="auto"/>
      </w:pPr>
      <w:r>
        <w:br w:type="page"/>
      </w: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Figure 3</w:t>
      </w:r>
    </w:p>
    <w:p>
      <w:pPr>
        <w:pStyle w:val="Normal.0"/>
        <w:spacing w:line="480" w:lineRule="auto"/>
        <w:rPr>
          <w:rFonts w:ascii="Times New Roman" w:cs="Times New Roman" w:hAnsi="Times New Roman" w:eastAsia="Times New Roman"/>
          <w:b w:val="1"/>
          <w:bCs w:val="1"/>
          <w:i w:val="1"/>
          <w:iCs w:val="1"/>
          <w:sz w:val="22"/>
          <w:szCs w:val="22"/>
        </w:rPr>
      </w:pPr>
      <w:r>
        <w:rPr>
          <w:rFonts w:ascii="Times New Roman" w:hAnsi="Times New Roman"/>
          <w:i w:val="1"/>
          <w:iCs w:val="1"/>
          <w:sz w:val="22"/>
          <w:szCs w:val="22"/>
          <w:rtl w:val="0"/>
          <w:lang w:val="en-US"/>
        </w:rPr>
        <w:t>Questionnaire Consumer Perception</w:t>
      </w:r>
    </w:p>
    <w:p>
      <w:pPr>
        <w:pStyle w:val="Normal.0"/>
        <w:spacing w:line="480" w:lineRule="auto"/>
        <w:ind w:left="440" w:firstLine="0"/>
        <w:rPr>
          <w:rFonts w:ascii="Times New Roman" w:cs="Times New Roman" w:hAnsi="Times New Roman" w:eastAsia="Times New Roman"/>
          <w:sz w:val="22"/>
          <w:szCs w:val="22"/>
        </w:rPr>
      </w:pPr>
      <w: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4191747" cy="2586038"/>
            <wp:effectExtent l="0" t="0" r="0" b="0"/>
            <wp:docPr id="1073741829" name="officeArt object" descr="image6.png"/>
            <wp:cNvGraphicFramePr/>
            <a:graphic xmlns:a="http://schemas.openxmlformats.org/drawingml/2006/main">
              <a:graphicData uri="http://schemas.openxmlformats.org/drawingml/2006/picture">
                <pic:pic xmlns:pic="http://schemas.openxmlformats.org/drawingml/2006/picture">
                  <pic:nvPicPr>
                    <pic:cNvPr id="1073741829" name="image6.png" descr="image6.png"/>
                    <pic:cNvPicPr>
                      <a:picLocks noChangeAspect="1"/>
                    </pic:cNvPicPr>
                  </pic:nvPicPr>
                  <pic:blipFill>
                    <a:blip r:embed="rId8">
                      <a:extLst/>
                    </a:blip>
                    <a:stretch>
                      <a:fillRect/>
                    </a:stretch>
                  </pic:blipFill>
                  <pic:spPr>
                    <a:xfrm>
                      <a:off x="0" y="0"/>
                      <a:ext cx="4191747" cy="2586038"/>
                    </a:xfrm>
                    <a:prstGeom prst="rect">
                      <a:avLst/>
                    </a:prstGeom>
                    <a:ln w="12700" cap="flat">
                      <a:noFill/>
                      <a:miter lim="400000"/>
                    </a:ln>
                    <a:effectLst/>
                  </pic:spPr>
                </pic:pic>
              </a:graphicData>
            </a:graphic>
          </wp:inline>
        </w:drawing>
      </w:r>
      <w:r>
        <w:rPr>
          <w:rFonts w:ascii="Times New Roman" w:hAnsi="Times New Roman"/>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Times New Roman" w:cs="Times New Roman" w:hAnsi="Times New Roman" w:eastAsia="Times New Roma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3929063" cy="3053777"/>
            <wp:effectExtent l="0" t="0" r="0" b="0"/>
            <wp:docPr id="1073741830" name="officeArt object" descr="image4.png"/>
            <wp:cNvGraphicFramePr/>
            <a:graphic xmlns:a="http://schemas.openxmlformats.org/drawingml/2006/main">
              <a:graphicData uri="http://schemas.openxmlformats.org/drawingml/2006/picture">
                <pic:pic xmlns:pic="http://schemas.openxmlformats.org/drawingml/2006/picture">
                  <pic:nvPicPr>
                    <pic:cNvPr id="1073741830" name="image4.png" descr="image4.png"/>
                    <pic:cNvPicPr>
                      <a:picLocks noChangeAspect="1"/>
                    </pic:cNvPicPr>
                  </pic:nvPicPr>
                  <pic:blipFill>
                    <a:blip r:embed="rId9">
                      <a:extLst/>
                    </a:blip>
                    <a:stretch>
                      <a:fillRect/>
                    </a:stretch>
                  </pic:blipFill>
                  <pic:spPr>
                    <a:xfrm>
                      <a:off x="0" y="0"/>
                      <a:ext cx="3929063" cy="3053777"/>
                    </a:xfrm>
                    <a:prstGeom prst="rect">
                      <a:avLst/>
                    </a:prstGeom>
                    <a:ln w="12700" cap="flat">
                      <a:noFill/>
                      <a:miter lim="400000"/>
                    </a:ln>
                    <a:effectLst/>
                  </pic:spPr>
                </pic:pic>
              </a:graphicData>
            </a:graphic>
          </wp:inline>
        </w:drawing>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The data gathered for these two questions reveals low consumer awareness of PepsiCo's sustainability program. The survey data shows that once consumers perceive PepsiCo's measures to reduce environmental impact, they will have a good impression and even be willing to buy PepsiCo's products (Fig. 3). If PepsiCo can do this, it will increase their income and attract many consumers because consumers are concerned about corporate responsibility and the environment.</w:t>
      </w:r>
    </w:p>
    <w:p>
      <w:pPr>
        <w:pStyle w:val="Normal.0"/>
        <w:spacing w:line="48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Limitations</w:t>
      </w:r>
    </w:p>
    <w:p>
      <w:pPr>
        <w:pStyle w:val="Normal.0"/>
        <w:spacing w:line="480" w:lineRule="auto"/>
        <w:ind w:firstLine="720"/>
        <w:rPr>
          <w:rFonts w:ascii="Times New Roman" w:cs="Times New Roman" w:hAnsi="Times New Roman" w:eastAsia="Times New Roman"/>
          <w:sz w:val="22"/>
          <w:szCs w:val="22"/>
        </w:rPr>
      </w:pPr>
      <w:r>
        <w:rPr>
          <w:rFonts w:ascii="Times New Roman" w:hAnsi="Times New Roman"/>
          <w:sz w:val="22"/>
          <w:szCs w:val="22"/>
          <w:rtl w:val="0"/>
          <w:lang w:val="en-US"/>
        </w:rPr>
        <w:t>This study explores consumer awareness of PepsiCo with several significant limitations. There was a relatively low number of survey respondents considering the global nature of the PepsiCo brand. This results in the survey data are not universally applicable on a global scale. This study also does not address the general role of ESG as a part of an investment package or the specific details of PepsiCo</w:t>
      </w:r>
      <w:r>
        <w:rPr>
          <w:rFonts w:ascii="Times New Roman" w:hAnsi="Times New Roman" w:hint="default"/>
          <w:sz w:val="22"/>
          <w:szCs w:val="22"/>
          <w:rtl w:val="0"/>
          <w:lang w:val="en-US"/>
        </w:rPr>
        <w:t>’</w:t>
      </w:r>
      <w:r>
        <w:rPr>
          <w:rFonts w:ascii="Times New Roman" w:hAnsi="Times New Roman"/>
          <w:sz w:val="22"/>
          <w:szCs w:val="22"/>
          <w:rtl w:val="0"/>
          <w:lang w:val="en-US"/>
        </w:rPr>
        <w:t>s ESG plan. This study does not discuss different customer responses based on location or demographics. This research is intended to inspire many questions, but does not answer all of them definitively.</w:t>
      </w:r>
    </w:p>
    <w:p>
      <w:pPr>
        <w:pStyle w:val="Normal.0"/>
        <w:spacing w:line="480" w:lineRule="auto"/>
        <w:rPr>
          <w:rFonts w:ascii="Times New Roman" w:cs="Times New Roman" w:hAnsi="Times New Roman" w:eastAsia="Times New Roman"/>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Conclusion</w:t>
      </w:r>
    </w:p>
    <w:p>
      <w:pPr>
        <w:pStyle w:val="Normal.0"/>
        <w:spacing w:line="480" w:lineRule="auto"/>
        <w:ind w:firstLine="720"/>
      </w:pPr>
      <w:r>
        <w:rPr>
          <w:rFonts w:ascii="Times New Roman" w:hAnsi="Times New Roman"/>
          <w:sz w:val="22"/>
          <w:szCs w:val="22"/>
          <w:rtl w:val="0"/>
          <w:lang w:val="en-US"/>
        </w:rPr>
        <w:t xml:space="preserve">The business choices made by PepsiCo for sustainable development projects are all valuable, and from an economic point of view, </w:t>
      </w:r>
      <w:r>
        <w:rPr>
          <w:rFonts w:ascii="Times New Roman" w:hAnsi="Times New Roman"/>
          <w:i w:val="1"/>
          <w:iCs w:val="1"/>
          <w:sz w:val="22"/>
          <w:szCs w:val="22"/>
          <w:rtl w:val="0"/>
          <w:lang w:val="en-US"/>
        </w:rPr>
        <w:t>FO</w:t>
      </w:r>
      <w:r>
        <w:rPr>
          <w:rFonts w:ascii="Times New Roman" w:hAnsi="Times New Roman"/>
          <w:sz w:val="22"/>
          <w:szCs w:val="22"/>
          <w:rtl w:val="0"/>
          <w:lang w:val="en-US"/>
        </w:rPr>
        <w:t xml:space="preserve"> = </w:t>
      </w:r>
      <w:r>
        <w:rPr>
          <w:rFonts w:ascii="Times New Roman" w:hAnsi="Times New Roman"/>
          <w:i w:val="1"/>
          <w:iCs w:val="1"/>
          <w:sz w:val="22"/>
          <w:szCs w:val="22"/>
          <w:rtl w:val="0"/>
          <w:lang w:val="en-US"/>
        </w:rPr>
        <w:t>CO</w:t>
      </w:r>
      <w:r>
        <w:rPr>
          <w:rFonts w:ascii="Times New Roman" w:hAnsi="Times New Roman"/>
          <w:sz w:val="22"/>
          <w:szCs w:val="22"/>
          <w:rtl w:val="0"/>
          <w:lang w:val="en-US"/>
        </w:rPr>
        <w:t xml:space="preserve">, which shows that the decision is economically preferable. However, their contribution was not perfectly perceived by customers. Affinity marketing initiatives, especially social marketing initiatives, have the potential to improve consumers' attitudes about the PepsiCo brand. </w:t>
      </w:r>
      <w:r>
        <w:br w:type="page"/>
      </w:r>
    </w:p>
    <w:p>
      <w:pPr>
        <w:pStyle w:val="Normal.0"/>
        <w:spacing w:line="480" w:lineRule="auto"/>
        <w:ind w:left="360" w:firstLine="0"/>
        <w:jc w:val="center"/>
        <w:rPr>
          <w:rFonts w:ascii="Times New Roman" w:cs="Times New Roman" w:hAnsi="Times New Roman" w:eastAsia="Times New Roman"/>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Times New Roman" w:hAnsi="Times New Roman"/>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References</w:t>
      </w:r>
    </w:p>
    <w:p>
      <w:pPr>
        <w:pStyle w:val="Normal.0"/>
        <w:spacing w:before="240" w:after="240" w:line="480" w:lineRule="auto"/>
        <w:ind w:left="720" w:hanging="720"/>
        <w:jc w:val="left"/>
        <w:rPr>
          <w:rFonts w:ascii="Times New Roman" w:cs="Times New Roman" w:hAnsi="Times New Roman" w:eastAsia="Times New Roman"/>
          <w:sz w:val="22"/>
          <w:szCs w:val="22"/>
        </w:rPr>
      </w:pPr>
      <w:r>
        <w:rPr>
          <w:rFonts w:ascii="Times New Roman" w:hAnsi="Times New Roman"/>
          <w:sz w:val="22"/>
          <w:szCs w:val="22"/>
          <w:rtl w:val="0"/>
          <w:lang w:val="en-US"/>
        </w:rPr>
        <w:t xml:space="preserve">Aksoy, L., Buoye, A. J., Fors, M., Keiningham, T. L., &amp; Rosengren, S. (2022). Environmental, Social and Governance (ESG) Metrics Do Not Serve Services Customers: A Missing Link Between Sustainability Metrics and Customer Perceptions of Social Innovation. </w:t>
      </w:r>
      <w:r>
        <w:rPr>
          <w:rFonts w:ascii="Times New Roman" w:hAnsi="Times New Roman"/>
          <w:i w:val="1"/>
          <w:iCs w:val="1"/>
          <w:sz w:val="22"/>
          <w:szCs w:val="22"/>
          <w:rtl w:val="0"/>
          <w:lang w:val="en-US"/>
        </w:rPr>
        <w:t>Journal of Service Management</w:t>
      </w:r>
      <w:r>
        <w:rPr>
          <w:rFonts w:ascii="Times New Roman" w:hAnsi="Times New Roman"/>
          <w:sz w:val="22"/>
          <w:szCs w:val="22"/>
          <w:rtl w:val="0"/>
          <w:lang w:val="en-US"/>
        </w:rPr>
        <w:t xml:space="preserve">, </w:t>
      </w:r>
      <w:r>
        <w:rPr>
          <w:rFonts w:ascii="Times New Roman" w:hAnsi="Times New Roman"/>
          <w:i w:val="1"/>
          <w:iCs w:val="1"/>
          <w:sz w:val="22"/>
          <w:szCs w:val="22"/>
          <w:rtl w:val="0"/>
          <w:lang w:val="en-US"/>
        </w:rPr>
        <w:t>33</w:t>
      </w:r>
      <w:r>
        <w:rPr>
          <w:rFonts w:ascii="Times New Roman" w:hAnsi="Times New Roman"/>
          <w:sz w:val="22"/>
          <w:szCs w:val="22"/>
          <w:rtl w:val="0"/>
          <w:lang w:val="en-US"/>
        </w:rPr>
        <w:t>(4/5), 565</w:t>
      </w:r>
      <w:r>
        <w:rPr>
          <w:rFonts w:ascii="Times New Roman" w:hAnsi="Times New Roman" w:hint="default"/>
          <w:sz w:val="22"/>
          <w:szCs w:val="22"/>
          <w:rtl w:val="0"/>
          <w:lang w:val="en-US"/>
        </w:rPr>
        <w:t>–</w:t>
      </w:r>
      <w:r>
        <w:rPr>
          <w:rFonts w:ascii="Times New Roman" w:hAnsi="Times New Roman"/>
          <w:sz w:val="22"/>
          <w:szCs w:val="22"/>
          <w:rtl w:val="0"/>
          <w:lang w:val="en-US"/>
        </w:rPr>
        <w:t>577. https://doi.org/10.1108/josm-11-2021-0428</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Fonts w:ascii="Times New Roman" w:hAnsi="Times New Roman"/>
          <w:sz w:val="22"/>
          <w:szCs w:val="22"/>
          <w:rtl w:val="0"/>
          <w:lang w:val="en-US"/>
        </w:rPr>
        <w:t xml:space="preserve">Bae, G. K., Lee, S. M., &amp; Luan, B. K. (2023). The Impact of ESG on Brand Trust and Word of Mouth in Food and Beverage Companies: Focusing On Jeju Island Tourists. </w:t>
      </w:r>
      <w:r>
        <w:rPr>
          <w:rFonts w:ascii="Times New Roman" w:hAnsi="Times New Roman"/>
          <w:i w:val="1"/>
          <w:iCs w:val="1"/>
          <w:sz w:val="22"/>
          <w:szCs w:val="22"/>
          <w:rtl w:val="0"/>
          <w:lang w:val="en-US"/>
        </w:rPr>
        <w:t>Sustainability</w:t>
      </w:r>
      <w:r>
        <w:rPr>
          <w:rFonts w:ascii="Times New Roman" w:hAnsi="Times New Roman"/>
          <w:sz w:val="22"/>
          <w:szCs w:val="22"/>
          <w:rtl w:val="0"/>
          <w:lang w:val="en-US"/>
        </w:rPr>
        <w:t xml:space="preserve">, </w:t>
      </w:r>
      <w:r>
        <w:rPr>
          <w:rFonts w:ascii="Times New Roman" w:hAnsi="Times New Roman"/>
          <w:i w:val="1"/>
          <w:iCs w:val="1"/>
          <w:sz w:val="22"/>
          <w:szCs w:val="22"/>
          <w:rtl w:val="0"/>
          <w:lang w:val="en-US"/>
        </w:rPr>
        <w:t>15</w:t>
      </w:r>
      <w:r>
        <w:rPr>
          <w:rFonts w:ascii="Times New Roman" w:hAnsi="Times New Roman"/>
          <w:sz w:val="22"/>
          <w:szCs w:val="22"/>
          <w:rtl w:val="0"/>
          <w:lang w:val="en-US"/>
        </w:rPr>
        <w:t xml:space="preserve">(3), 2348. </w:t>
      </w:r>
      <w:r>
        <w:rPr>
          <w:rStyle w:val="Hyperlink.0"/>
        </w:rPr>
        <w:fldChar w:fldCharType="begin" w:fldLock="0"/>
      </w:r>
      <w:r>
        <w:rPr>
          <w:rStyle w:val="Hyperlink.0"/>
        </w:rPr>
        <w:instrText xml:space="preserve"> HYPERLINK "https://doi.org/10.3390/su15032348"</w:instrText>
      </w:r>
      <w:r>
        <w:rPr>
          <w:rStyle w:val="Hyperlink.0"/>
        </w:rPr>
        <w:fldChar w:fldCharType="separate" w:fldLock="0"/>
      </w:r>
      <w:r>
        <w:rPr>
          <w:rStyle w:val="Hyperlink.0"/>
          <w:rtl w:val="0"/>
          <w:lang w:val="en-US"/>
        </w:rPr>
        <w:t>https://doi.org/10.3390/su15032348</w:t>
      </w:r>
      <w:r>
        <w:rPr/>
        <w:fldChar w:fldCharType="end" w:fldLock="0"/>
      </w:r>
    </w:p>
    <w:p>
      <w:pPr>
        <w:pStyle w:val="Normal.0"/>
        <w:spacing w:line="480" w:lineRule="auto"/>
        <w:ind w:left="720" w:firstLine="0"/>
        <w:jc w:val="lef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Bloom, P. N., Hoeffler, S., Keller, K. L., &amp; Basurto Meza, C. E. (2006). How Social-Cause Marketing Affects Consumer Perceptions. </w:t>
      </w:r>
      <w:r>
        <w:rPr>
          <w:rStyle w:val="None"/>
          <w:rFonts w:ascii="Times New Roman" w:hAnsi="Times New Roman"/>
          <w:i w:val="1"/>
          <w:iCs w:val="1"/>
          <w:sz w:val="22"/>
          <w:szCs w:val="22"/>
          <w:rtl w:val="0"/>
          <w:lang w:val="en-US"/>
        </w:rPr>
        <w:t>MIT Sloan Management Review</w:t>
      </w:r>
      <w:r>
        <w:rPr>
          <w:rStyle w:val="None"/>
          <w:rFonts w:ascii="Times New Roman" w:hAnsi="Times New Roman"/>
          <w:sz w:val="22"/>
          <w:szCs w:val="22"/>
          <w:rtl w:val="0"/>
          <w:lang w:val="en-US"/>
        </w:rPr>
        <w:t>, 47(2).</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Climate change</w:t>
      </w:r>
      <w:r>
        <w:rPr>
          <w:rStyle w:val="None"/>
          <w:rFonts w:ascii="Times New Roman" w:hAnsi="Times New Roman"/>
          <w:sz w:val="22"/>
          <w:szCs w:val="22"/>
          <w:rtl w:val="0"/>
          <w:lang w:val="en-US"/>
        </w:rPr>
        <w:t>. Pepsico. (2023a). https://www.pepsico.com/our-impact/esg-topics-a-z/climate-change#progress</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Fernando, J. (2023, March 17). </w:t>
      </w:r>
      <w:r>
        <w:rPr>
          <w:rStyle w:val="None"/>
          <w:rFonts w:ascii="Times New Roman" w:hAnsi="Times New Roman"/>
          <w:i w:val="1"/>
          <w:iCs w:val="1"/>
          <w:sz w:val="22"/>
          <w:szCs w:val="22"/>
          <w:rtl w:val="0"/>
          <w:lang w:val="en-US"/>
        </w:rPr>
        <w:t>Opportunity Cost Formula, Calculation, and What It Can Tell You</w:t>
      </w:r>
      <w:r>
        <w:rPr>
          <w:rStyle w:val="None"/>
          <w:rFonts w:ascii="Times New Roman" w:hAnsi="Times New Roman"/>
          <w:sz w:val="22"/>
          <w:szCs w:val="22"/>
          <w:rtl w:val="0"/>
          <w:lang w:val="en-US"/>
        </w:rPr>
        <w:t>. Investopedia. https://www.investopedia.com/terms/o/opportunitycost.asp</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Finger, M., &amp; Rosenboim, M. (2022). Going ESG: The Economic Value of Adopting an ESG Policy. </w:t>
      </w:r>
      <w:r>
        <w:rPr>
          <w:rStyle w:val="None"/>
          <w:rFonts w:ascii="Times New Roman" w:hAnsi="Times New Roman"/>
          <w:i w:val="1"/>
          <w:iCs w:val="1"/>
          <w:sz w:val="22"/>
          <w:szCs w:val="22"/>
          <w:rtl w:val="0"/>
          <w:lang w:val="en-US"/>
        </w:rPr>
        <w:t>Sustainability</w:t>
      </w:r>
      <w:r>
        <w:rPr>
          <w:rStyle w:val="None"/>
          <w:rFonts w:ascii="Times New Roman" w:hAnsi="Times New Roman"/>
          <w:sz w:val="22"/>
          <w:szCs w:val="22"/>
          <w:rtl w:val="0"/>
          <w:lang w:val="en-US"/>
        </w:rPr>
        <w:t xml:space="preserve">, </w:t>
      </w:r>
      <w:r>
        <w:rPr>
          <w:rStyle w:val="None"/>
          <w:rFonts w:ascii="Times New Roman" w:hAnsi="Times New Roman"/>
          <w:i w:val="1"/>
          <w:iCs w:val="1"/>
          <w:sz w:val="22"/>
          <w:szCs w:val="22"/>
          <w:rtl w:val="0"/>
          <w:lang w:val="en-US"/>
        </w:rPr>
        <w:t>14</w:t>
      </w:r>
      <w:r>
        <w:rPr>
          <w:rStyle w:val="None"/>
          <w:rFonts w:ascii="Times New Roman" w:hAnsi="Times New Roman"/>
          <w:sz w:val="22"/>
          <w:szCs w:val="22"/>
          <w:rtl w:val="0"/>
          <w:lang w:val="en-US"/>
        </w:rPr>
        <w:t>(21), 13917. https://doi.org/10.3390/su142113917</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Koh, H. K., Burnasheva, R., &amp; Suh, Y. G. (2022). Perceived ESG (Environmental, Social, Governance) and Consumers</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 xml:space="preserve">Responses: The Mediating Role of Brand Credibility, Brand Image, and Perceived Quality. </w:t>
      </w:r>
      <w:r>
        <w:rPr>
          <w:rStyle w:val="None"/>
          <w:rFonts w:ascii="Times New Roman" w:hAnsi="Times New Roman"/>
          <w:i w:val="1"/>
          <w:iCs w:val="1"/>
          <w:sz w:val="22"/>
          <w:szCs w:val="22"/>
          <w:rtl w:val="0"/>
          <w:lang w:val="en-US"/>
        </w:rPr>
        <w:t>Sustainability</w:t>
      </w:r>
      <w:r>
        <w:rPr>
          <w:rStyle w:val="None"/>
          <w:rFonts w:ascii="Times New Roman" w:hAnsi="Times New Roman"/>
          <w:sz w:val="22"/>
          <w:szCs w:val="22"/>
          <w:rtl w:val="0"/>
          <w:lang w:val="en-US"/>
        </w:rPr>
        <w:t xml:space="preserve">, </w:t>
      </w:r>
      <w:r>
        <w:rPr>
          <w:rStyle w:val="None"/>
          <w:rFonts w:ascii="Times New Roman" w:hAnsi="Times New Roman"/>
          <w:i w:val="1"/>
          <w:iCs w:val="1"/>
          <w:sz w:val="22"/>
          <w:szCs w:val="22"/>
          <w:rtl w:val="0"/>
          <w:lang w:val="en-US"/>
        </w:rPr>
        <w:t>14</w:t>
      </w:r>
      <w:r>
        <w:rPr>
          <w:rStyle w:val="None"/>
          <w:rFonts w:ascii="Times New Roman" w:hAnsi="Times New Roman"/>
          <w:sz w:val="22"/>
          <w:szCs w:val="22"/>
          <w:rtl w:val="0"/>
          <w:lang w:val="en-US"/>
        </w:rPr>
        <w:t>(8), 4515. https://doi.org/10.3390/su14084515</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La Torre, M., Mango, F., Cafaro, A., &amp; Leo, S. (2020). Does the ESG Index Affect Stock Return? Evidence From the Eurostoxx50. </w:t>
      </w:r>
      <w:r>
        <w:rPr>
          <w:rStyle w:val="None"/>
          <w:rFonts w:ascii="Times New Roman" w:hAnsi="Times New Roman"/>
          <w:i w:val="1"/>
          <w:iCs w:val="1"/>
          <w:sz w:val="22"/>
          <w:szCs w:val="22"/>
          <w:rtl w:val="0"/>
          <w:lang w:val="en-US"/>
        </w:rPr>
        <w:t>Sustainability</w:t>
      </w:r>
      <w:r>
        <w:rPr>
          <w:rStyle w:val="None"/>
          <w:rFonts w:ascii="Times New Roman" w:hAnsi="Times New Roman"/>
          <w:sz w:val="22"/>
          <w:szCs w:val="22"/>
          <w:rtl w:val="0"/>
          <w:lang w:val="en-US"/>
        </w:rPr>
        <w:t xml:space="preserve">, </w:t>
      </w:r>
      <w:r>
        <w:rPr>
          <w:rStyle w:val="None"/>
          <w:rFonts w:ascii="Times New Roman" w:hAnsi="Times New Roman"/>
          <w:i w:val="1"/>
          <w:iCs w:val="1"/>
          <w:sz w:val="22"/>
          <w:szCs w:val="22"/>
          <w:rtl w:val="0"/>
          <w:lang w:val="en-US"/>
        </w:rPr>
        <w:t>12</w:t>
      </w:r>
      <w:r>
        <w:rPr>
          <w:rStyle w:val="None"/>
          <w:rFonts w:ascii="Times New Roman" w:hAnsi="Times New Roman"/>
          <w:sz w:val="22"/>
          <w:szCs w:val="22"/>
          <w:rtl w:val="0"/>
          <w:lang w:val="en-US"/>
        </w:rPr>
        <w:t>(16), 6387. https://doi.org/10.3390/su12166387</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Lay</w:t>
      </w:r>
      <w:r>
        <w:rPr>
          <w:rStyle w:val="None"/>
          <w:rFonts w:ascii="Times New Roman" w:hAnsi="Times New Roman" w:hint="default"/>
          <w:i w:val="1"/>
          <w:iCs w:val="1"/>
          <w:sz w:val="22"/>
          <w:szCs w:val="22"/>
          <w:rtl w:val="0"/>
          <w:lang w:val="en-US"/>
        </w:rPr>
        <w:t>’</w:t>
      </w:r>
      <w:r>
        <w:rPr>
          <w:rStyle w:val="None"/>
          <w:rFonts w:ascii="Times New Roman" w:hAnsi="Times New Roman"/>
          <w:i w:val="1"/>
          <w:iCs w:val="1"/>
          <w:sz w:val="22"/>
          <w:szCs w:val="22"/>
          <w:rtl w:val="0"/>
          <w:lang w:val="en-US"/>
        </w:rPr>
        <w:t>s Replay Gives Chip Packaging New Purpose</w:t>
      </w:r>
      <w:r>
        <w:rPr>
          <w:rStyle w:val="None"/>
          <w:rFonts w:ascii="Times New Roman" w:hAnsi="Times New Roman"/>
          <w:sz w:val="22"/>
          <w:szCs w:val="22"/>
          <w:rtl w:val="0"/>
          <w:lang w:val="en-US"/>
        </w:rPr>
        <w:t>. Pepsico. (2021, June 24). https://www.pepsico.com/our-stories/story/lay</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s-replay-gives-chip-packaging-new-purpose#:~:text=In%20partnership%20with%20the%20UEFA,fields%20(aka%20football%20pitches).</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Opportunity Cost</w:t>
      </w:r>
      <w:r>
        <w:rPr>
          <w:rStyle w:val="None"/>
          <w:rFonts w:ascii="Times New Roman" w:hAnsi="Times New Roman"/>
          <w:sz w:val="22"/>
          <w:szCs w:val="22"/>
          <w:rtl w:val="0"/>
          <w:lang w:val="en-US"/>
        </w:rPr>
        <w:t>. Econlib. (2023, August 30). https://www.econlib.org/library/Topics/College/opportunitycost.html</w:t>
      </w:r>
    </w:p>
    <w:p>
      <w:pPr>
        <w:pStyle w:val="Normal.0"/>
        <w:spacing w:before="240" w:after="240" w:line="480" w:lineRule="auto"/>
        <w:ind w:left="720" w:hanging="720"/>
        <w:jc w:val="left"/>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PepsiCo ESG Summary</w:t>
      </w:r>
      <w:r>
        <w:rPr>
          <w:rStyle w:val="None"/>
          <w:rFonts w:ascii="Times New Roman" w:hAnsi="Times New Roman"/>
          <w:sz w:val="22"/>
          <w:szCs w:val="22"/>
          <w:rtl w:val="0"/>
          <w:lang w:val="en-US"/>
        </w:rPr>
        <w:t xml:space="preserve">. Pepsico. (2023b). </w:t>
      </w:r>
      <w:r>
        <w:rPr>
          <w:rStyle w:val="Hyperlink.0"/>
        </w:rPr>
        <w:fldChar w:fldCharType="begin" w:fldLock="0"/>
      </w:r>
      <w:r>
        <w:rPr>
          <w:rStyle w:val="Hyperlink.0"/>
        </w:rPr>
        <w:instrText xml:space="preserve"> HYPERLINK "https://www.pepsico.com/our-impact/sustainability/esg-summary"</w:instrText>
      </w:r>
      <w:r>
        <w:rPr>
          <w:rStyle w:val="Hyperlink.0"/>
        </w:rPr>
        <w:fldChar w:fldCharType="separate" w:fldLock="0"/>
      </w:r>
      <w:r>
        <w:rPr>
          <w:rStyle w:val="Hyperlink.0"/>
          <w:rtl w:val="0"/>
          <w:lang w:val="en-US"/>
        </w:rPr>
        <w:t>https://www.pepsico.com/our-impact/sustainability/esg-summary</w:t>
      </w:r>
      <w:r>
        <w:rPr/>
        <w:fldChar w:fldCharType="end" w:fldLock="0"/>
      </w:r>
    </w:p>
    <w:p>
      <w:pPr>
        <w:pStyle w:val="Normal.0"/>
        <w:spacing w:line="480" w:lineRule="auto"/>
        <w:ind w:left="720" w:firstLine="0"/>
        <w:jc w:val="lef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Questionnaire. (2023). https://www.wjx.cn/vm/Q4Ohozd.aspx#; https://www.wjx.cn/vm/exQKtFT.aspx#</w:t>
      </w:r>
    </w:p>
    <w:p>
      <w:pPr>
        <w:pStyle w:val="Normal.0"/>
        <w:spacing w:before="240" w:after="240" w:line="480" w:lineRule="auto"/>
        <w:ind w:left="720" w:hanging="720"/>
        <w:jc w:val="left"/>
      </w:pPr>
      <w:r>
        <w:rPr>
          <w:rStyle w:val="None"/>
          <w:rFonts w:ascii="Times New Roman" w:hAnsi="Times New Roman"/>
          <w:i w:val="1"/>
          <w:iCs w:val="1"/>
          <w:sz w:val="22"/>
          <w:szCs w:val="22"/>
          <w:rtl w:val="0"/>
          <w:lang w:val="en-US"/>
        </w:rPr>
        <w:t>Target market of Pepsi</w:t>
      </w:r>
      <w:r>
        <w:rPr>
          <w:rStyle w:val="None"/>
          <w:rFonts w:ascii="Times New Roman" w:hAnsi="Times New Roman"/>
          <w:sz w:val="22"/>
          <w:szCs w:val="22"/>
          <w:rtl w:val="0"/>
          <w:lang w:val="en-US"/>
        </w:rPr>
        <w:t xml:space="preserve">. Bartleby. (n.d.). https://www.bartleby.com/essay/Target-Market-Of-Pepsi-FCRULWGFFR </w:t>
      </w:r>
    </w:p>
    <w:sectPr>
      <w:headerReference w:type="default" r:id="rId10"/>
      <w:footerReference w:type="default" r:id="rId11"/>
      <w:pgSz w:w="12240" w:h="15840" w:orient="portrait"/>
      <w:pgMar w:top="1440" w:right="1440" w:bottom="1440" w:left="1440" w:header="851" w:footer="992"/>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等线">
    <w:charset w:val="00"/>
    <w:family w:val="roman"/>
    <w:pitch w:val="default"/>
  </w:font>
  <w:font w:name="Helvetica Neue">
    <w:charset w:val="00"/>
    <w:family w:val="roman"/>
    <w:pitch w:val="default"/>
  </w:font>
  <w:font w:name="Gungsuh">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rFonts w:ascii="Times New Roman" w:hAnsi="Times New Roman"/>
        <w:sz w:val="22"/>
        <w:szCs w:val="22"/>
      </w:rPr>
      <w:fldChar w:fldCharType="begin" w:fldLock="0"/>
    </w:r>
    <w:r>
      <w:rPr>
        <w:rFonts w:ascii="Times New Roman" w:hAnsi="Times New Roman"/>
        <w:sz w:val="22"/>
        <w:szCs w:val="22"/>
      </w:rPr>
      <w:instrText xml:space="preserve"> PAGE </w:instrText>
    </w:r>
    <w:r>
      <w:rPr>
        <w:rFonts w:ascii="Times New Roman" w:hAnsi="Times New Roman"/>
        <w:sz w:val="22"/>
        <w:szCs w:val="22"/>
      </w:rPr>
      <w:fldChar w:fldCharType="separate" w:fldLock="0"/>
    </w:r>
    <w:r>
      <w:rPr>
        <w:rFonts w:ascii="Times New Roman" w:hAnsi="Times New Roman"/>
        <w:sz w:val="22"/>
        <w:szCs w:val="22"/>
      </w:rPr>
    </w:r>
    <w:r>
      <w:rPr>
        <w:rFonts w:ascii="Times New Roman" w:hAnsi="Times New Roman"/>
        <w:sz w:val="22"/>
        <w:szCs w:val="22"/>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2"/>
      <w:szCs w:val="22"/>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